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D66C97">
      <w:pPr>
        <w:widowControl/>
        <w:spacing w:line="360" w:lineRule="auto"/>
        <w:ind w:left="420"/>
        <w:jc w:val="center"/>
        <w:rPr>
          <w:rFonts w:ascii="宋体"/>
          <w:color w:val="000000"/>
          <w:sz w:val="32"/>
          <w:szCs w:val="32"/>
        </w:rPr>
      </w:pPr>
      <w:bookmarkStart w:id="0" w:name="_GoBack"/>
      <w:r>
        <w:rPr>
          <w:rFonts w:hint="eastAsia"/>
          <w:b/>
          <w:color w:val="000000"/>
          <w:sz w:val="32"/>
          <w:szCs w:val="32"/>
          <w:lang w:val="en-US" w:eastAsia="zh-CN"/>
        </w:rPr>
        <w:t>厦门创业园</w:t>
      </w:r>
      <w:r>
        <w:rPr>
          <w:rFonts w:hint="eastAsia"/>
          <w:b/>
          <w:color w:val="000000"/>
          <w:sz w:val="32"/>
          <w:szCs w:val="32"/>
        </w:rPr>
        <w:t>机动车</w:t>
      </w:r>
      <w:r>
        <w:rPr>
          <w:b/>
          <w:color w:val="000000"/>
          <w:sz w:val="32"/>
          <w:szCs w:val="32"/>
        </w:rPr>
        <w:t>停车场车位</w:t>
      </w:r>
      <w:r>
        <w:rPr>
          <w:rFonts w:hint="eastAsia"/>
          <w:b/>
          <w:color w:val="000000"/>
          <w:sz w:val="32"/>
          <w:szCs w:val="32"/>
        </w:rPr>
        <w:t>使用</w:t>
      </w:r>
      <w:r>
        <w:rPr>
          <w:b/>
          <w:color w:val="000000"/>
          <w:sz w:val="32"/>
          <w:szCs w:val="32"/>
        </w:rPr>
        <w:t>协议</w:t>
      </w:r>
      <w:bookmarkEnd w:id="0"/>
    </w:p>
    <w:p w14:paraId="086E4515">
      <w:pPr>
        <w:widowControl/>
        <w:wordWrap w:val="0"/>
        <w:spacing w:line="480" w:lineRule="auto"/>
        <w:jc w:val="left"/>
        <w:rPr>
          <w:b/>
          <w:color w:val="000000"/>
        </w:rPr>
      </w:pPr>
      <w:r>
        <w:rPr>
          <w:rFonts w:hint="eastAsia"/>
          <w:b/>
          <w:color w:val="000000"/>
        </w:rPr>
        <w:t>甲方（单位名称）：</w:t>
      </w:r>
    </w:p>
    <w:p w14:paraId="45D7B6B8">
      <w:pPr>
        <w:widowControl/>
        <w:wordWrap w:val="0"/>
        <w:spacing w:line="480" w:lineRule="auto"/>
        <w:jc w:val="left"/>
        <w:rPr>
          <w:color w:val="000000"/>
        </w:rPr>
      </w:pPr>
      <w:r>
        <w:rPr>
          <w:rFonts w:hint="eastAsia"/>
          <w:b/>
          <w:color w:val="000000"/>
        </w:rPr>
        <w:t>乙方（单位名称）：</w:t>
      </w:r>
    </w:p>
    <w:p w14:paraId="041940E1">
      <w:pPr>
        <w:widowControl/>
        <w:tabs>
          <w:tab w:val="left" w:pos="540"/>
        </w:tabs>
        <w:spacing w:line="360" w:lineRule="auto"/>
        <w:ind w:firstLine="360"/>
        <w:jc w:val="left"/>
        <w:rPr>
          <w:color w:val="000000"/>
          <w:sz w:val="22"/>
          <w:szCs w:val="22"/>
        </w:rPr>
      </w:pPr>
      <w:r>
        <w:rPr>
          <w:rFonts w:hint="eastAsia"/>
          <w:color w:val="000000"/>
          <w:sz w:val="22"/>
          <w:szCs w:val="22"/>
        </w:rPr>
        <w:t xml:space="preserve">  经双方友好协商，就乙方在甲方园区内停车事宜达成协议如下：</w:t>
      </w:r>
    </w:p>
    <w:p w14:paraId="210D1ACF">
      <w:pPr>
        <w:widowControl/>
        <w:numPr>
          <w:ilvl w:val="0"/>
          <w:numId w:val="1"/>
        </w:numPr>
        <w:spacing w:line="360" w:lineRule="auto"/>
        <w:ind w:left="502" w:hanging="501" w:hangingChars="228"/>
        <w:rPr>
          <w:color w:val="000000"/>
          <w:sz w:val="22"/>
          <w:szCs w:val="22"/>
        </w:rPr>
      </w:pPr>
      <w:r>
        <w:rPr>
          <w:color w:val="000000"/>
          <w:sz w:val="22"/>
          <w:szCs w:val="22"/>
        </w:rPr>
        <w:t>从</w:t>
      </w:r>
      <w:r>
        <w:rPr>
          <w:color w:val="000000"/>
          <w:sz w:val="22"/>
          <w:szCs w:val="22"/>
          <w:u w:val="single"/>
        </w:rPr>
        <w:t>   </w:t>
      </w:r>
      <w:r>
        <w:rPr>
          <w:rFonts w:hint="eastAsia"/>
          <w:color w:val="000000"/>
          <w:sz w:val="22"/>
          <w:szCs w:val="22"/>
          <w:u w:val="single"/>
        </w:rPr>
        <w:t xml:space="preserve"> </w:t>
      </w:r>
      <w:r>
        <w:rPr>
          <w:color w:val="000000"/>
          <w:sz w:val="22"/>
          <w:szCs w:val="22"/>
        </w:rPr>
        <w:t>年</w:t>
      </w:r>
      <w:r>
        <w:rPr>
          <w:color w:val="000000"/>
          <w:sz w:val="22"/>
          <w:szCs w:val="22"/>
          <w:u w:val="single"/>
        </w:rPr>
        <w:t>  </w:t>
      </w:r>
      <w:r>
        <w:rPr>
          <w:rFonts w:hint="eastAsia"/>
          <w:color w:val="000000"/>
          <w:sz w:val="22"/>
          <w:szCs w:val="22"/>
          <w:u w:val="single"/>
        </w:rPr>
        <w:t xml:space="preserve"> </w:t>
      </w:r>
      <w:r>
        <w:rPr>
          <w:color w:val="000000"/>
          <w:sz w:val="22"/>
          <w:szCs w:val="22"/>
        </w:rPr>
        <w:t>月</w:t>
      </w:r>
      <w:r>
        <w:rPr>
          <w:rFonts w:hint="eastAsia"/>
          <w:color w:val="000000"/>
          <w:sz w:val="22"/>
          <w:szCs w:val="22"/>
          <w:u w:val="single"/>
        </w:rPr>
        <w:t xml:space="preserve">  </w:t>
      </w:r>
      <w:r>
        <w:rPr>
          <w:rFonts w:hint="eastAsia"/>
          <w:color w:val="000000"/>
          <w:sz w:val="22"/>
          <w:szCs w:val="22"/>
        </w:rPr>
        <w:t>日</w:t>
      </w:r>
      <w:r>
        <w:rPr>
          <w:color w:val="000000"/>
          <w:sz w:val="22"/>
          <w:szCs w:val="22"/>
        </w:rPr>
        <w:t>起，</w:t>
      </w:r>
      <w:r>
        <w:rPr>
          <w:rFonts w:hint="eastAsia"/>
          <w:color w:val="000000"/>
          <w:sz w:val="22"/>
          <w:szCs w:val="22"/>
        </w:rPr>
        <w:t>乙方使用甲方提供的创业园</w:t>
      </w:r>
      <w:r>
        <w:rPr>
          <w:color w:val="000000"/>
          <w:sz w:val="22"/>
          <w:szCs w:val="22"/>
        </w:rPr>
        <w:t>车位</w:t>
      </w:r>
      <w:r>
        <w:rPr>
          <w:rFonts w:hint="eastAsia"/>
          <w:color w:val="000000"/>
          <w:sz w:val="22"/>
          <w:szCs w:val="22"/>
        </w:rPr>
        <w:t>（地面/车库）</w:t>
      </w:r>
      <w:r>
        <w:rPr>
          <w:rFonts w:hint="eastAsia"/>
          <w:color w:val="000000"/>
          <w:sz w:val="22"/>
          <w:szCs w:val="22"/>
          <w:u w:val="single"/>
        </w:rPr>
        <w:t xml:space="preserve"> </w:t>
      </w:r>
      <w:r>
        <w:rPr>
          <w:rFonts w:hint="eastAsia" w:ascii="宋体"/>
          <w:color w:val="000000"/>
          <w:sz w:val="22"/>
          <w:szCs w:val="22"/>
          <w:u w:val="single"/>
        </w:rPr>
        <w:t xml:space="preserve">  </w:t>
      </w:r>
      <w:r>
        <w:rPr>
          <w:color w:val="000000"/>
          <w:sz w:val="22"/>
          <w:szCs w:val="22"/>
        </w:rPr>
        <w:t>个</w:t>
      </w:r>
      <w:r>
        <w:rPr>
          <w:rFonts w:hint="eastAsia"/>
          <w:color w:val="000000"/>
          <w:sz w:val="22"/>
          <w:szCs w:val="22"/>
        </w:rPr>
        <w:t>，</w:t>
      </w:r>
      <w:r>
        <w:rPr>
          <w:rFonts w:hint="eastAsia" w:ascii="宋体"/>
          <w:color w:val="000000"/>
          <w:sz w:val="22"/>
          <w:szCs w:val="22"/>
        </w:rPr>
        <w:t>车位费用按收费告示标准执行。</w:t>
      </w:r>
      <w:r>
        <w:rPr>
          <w:rFonts w:hint="eastAsia"/>
          <w:color w:val="000000"/>
          <w:sz w:val="22"/>
          <w:szCs w:val="22"/>
        </w:rPr>
        <w:t>乙方车辆品牌</w:t>
      </w:r>
      <w:r>
        <w:rPr>
          <w:rFonts w:hint="eastAsia"/>
          <w:color w:val="000000"/>
          <w:sz w:val="22"/>
          <w:szCs w:val="22"/>
          <w:u w:val="single"/>
        </w:rPr>
        <w:t xml:space="preserve">        </w:t>
      </w:r>
      <w:r>
        <w:rPr>
          <w:rFonts w:hint="eastAsia"/>
          <w:color w:val="000000"/>
          <w:sz w:val="22"/>
          <w:szCs w:val="22"/>
        </w:rPr>
        <w:t>，车牌号码</w:t>
      </w:r>
      <w:r>
        <w:rPr>
          <w:rFonts w:hint="eastAsia"/>
          <w:color w:val="000000"/>
          <w:sz w:val="22"/>
          <w:szCs w:val="22"/>
          <w:u w:val="single"/>
        </w:rPr>
        <w:t xml:space="preserve">           </w:t>
      </w:r>
      <w:r>
        <w:rPr>
          <w:rFonts w:hint="eastAsia"/>
          <w:color w:val="000000"/>
          <w:sz w:val="22"/>
          <w:szCs w:val="22"/>
        </w:rPr>
        <w:t>，车牌颜色（蓝色、黑色、黄色）</w:t>
      </w:r>
      <w:r>
        <w:rPr>
          <w:rFonts w:hint="eastAsia"/>
          <w:color w:val="000000"/>
          <w:sz w:val="22"/>
          <w:szCs w:val="22"/>
          <w:u w:val="single"/>
        </w:rPr>
        <w:t xml:space="preserve">       </w:t>
      </w:r>
      <w:r>
        <w:rPr>
          <w:rFonts w:hint="eastAsia"/>
          <w:color w:val="000000"/>
          <w:sz w:val="22"/>
          <w:szCs w:val="22"/>
        </w:rPr>
        <w:t>；联系人</w:t>
      </w:r>
      <w:r>
        <w:rPr>
          <w:rFonts w:hint="eastAsia"/>
          <w:color w:val="000000"/>
          <w:sz w:val="22"/>
          <w:szCs w:val="22"/>
          <w:u w:val="single"/>
        </w:rPr>
        <w:t xml:space="preserve">          </w:t>
      </w:r>
      <w:r>
        <w:rPr>
          <w:rFonts w:hint="eastAsia"/>
          <w:color w:val="000000"/>
          <w:sz w:val="22"/>
          <w:szCs w:val="22"/>
        </w:rPr>
        <w:t>，联系电话</w:t>
      </w:r>
      <w:r>
        <w:rPr>
          <w:rFonts w:hint="eastAsia"/>
          <w:color w:val="000000"/>
          <w:sz w:val="22"/>
          <w:szCs w:val="22"/>
          <w:u w:val="single"/>
        </w:rPr>
        <w:t xml:space="preserve">              </w:t>
      </w:r>
      <w:r>
        <w:rPr>
          <w:rFonts w:hint="eastAsia"/>
          <w:color w:val="000000"/>
          <w:sz w:val="22"/>
          <w:szCs w:val="22"/>
        </w:rPr>
        <w:t xml:space="preserve"> 。</w:t>
      </w:r>
    </w:p>
    <w:p w14:paraId="27317DAF">
      <w:pPr>
        <w:widowControl/>
        <w:numPr>
          <w:ilvl w:val="0"/>
          <w:numId w:val="1"/>
        </w:numPr>
        <w:adjustRightInd w:val="0"/>
        <w:snapToGrid w:val="0"/>
        <w:spacing w:line="360" w:lineRule="auto"/>
        <w:ind w:left="690" w:hanging="360"/>
        <w:jc w:val="left"/>
        <w:rPr>
          <w:color w:val="000000"/>
          <w:sz w:val="22"/>
          <w:szCs w:val="22"/>
        </w:rPr>
      </w:pPr>
      <w:r>
        <w:rPr>
          <w:rFonts w:hint="eastAsia"/>
          <w:color w:val="000000"/>
          <w:sz w:val="22"/>
          <w:szCs w:val="22"/>
        </w:rPr>
        <w:t>创业园大门及车库进出口管理系统采用车牌识别技术，</w:t>
      </w:r>
      <w:r>
        <w:rPr>
          <w:rFonts w:hint="eastAsia" w:ascii="宋体"/>
          <w:color w:val="000000"/>
          <w:sz w:val="22"/>
          <w:szCs w:val="22"/>
        </w:rPr>
        <w:t>在缴费有效期内，车辆慢行到进出道闸前，道杆会自动抬起；车辆通过后，道杆自动放下。进出车辆切记减速慢行，一车一杆，以防撞杆，禁止闯关。违者一经查实，甲方有权对违反车辆用户处以500元的罚款，重犯者取消所在单位全部车辆的月卡车辆。</w:t>
      </w:r>
    </w:p>
    <w:p w14:paraId="52C0B6B7">
      <w:pPr>
        <w:widowControl/>
        <w:numPr>
          <w:ilvl w:val="0"/>
          <w:numId w:val="1"/>
        </w:numPr>
        <w:adjustRightInd w:val="0"/>
        <w:snapToGrid w:val="0"/>
        <w:spacing w:line="360" w:lineRule="auto"/>
        <w:ind w:left="690" w:hanging="360"/>
        <w:jc w:val="left"/>
        <w:rPr>
          <w:rFonts w:ascii="宋体"/>
          <w:color w:val="000000"/>
          <w:sz w:val="22"/>
          <w:szCs w:val="22"/>
        </w:rPr>
      </w:pPr>
      <w:r>
        <w:rPr>
          <w:rFonts w:hint="eastAsia" w:ascii="宋体"/>
          <w:color w:val="000000"/>
          <w:sz w:val="22"/>
          <w:szCs w:val="22"/>
        </w:rPr>
        <w:t>如果车辆通过时电子屏显示“有效期剩余**天”，表明</w:t>
      </w:r>
      <w:r>
        <w:rPr>
          <w:rFonts w:hint="eastAsia" w:ascii="宋体"/>
          <w:b/>
          <w:bCs/>
          <w:sz w:val="22"/>
          <w:szCs w:val="22"/>
          <w:lang w:val="en-US" w:eastAsia="zh-CN"/>
        </w:rPr>
        <w:t>固定月租车</w:t>
      </w:r>
      <w:r>
        <w:rPr>
          <w:rFonts w:hint="eastAsia" w:ascii="宋体"/>
          <w:color w:val="000000"/>
          <w:sz w:val="22"/>
          <w:szCs w:val="22"/>
        </w:rPr>
        <w:t>有效期即将到期。乙方应尽快续交费用，逾期未续缴费用的车辆，系统将按临时车辆计收停车场位使用费。</w:t>
      </w:r>
      <w:r>
        <w:rPr>
          <w:rFonts w:hint="eastAsia" w:ascii="宋体"/>
          <w:b/>
          <w:bCs/>
          <w:sz w:val="22"/>
          <w:szCs w:val="22"/>
        </w:rPr>
        <w:t>如要重新续交月租</w:t>
      </w:r>
      <w:r>
        <w:rPr>
          <w:rFonts w:hint="eastAsia" w:ascii="宋体"/>
          <w:b/>
          <w:bCs/>
          <w:sz w:val="22"/>
          <w:szCs w:val="22"/>
          <w:lang w:val="en-US" w:eastAsia="zh-CN"/>
        </w:rPr>
        <w:t>费用</w:t>
      </w:r>
      <w:r>
        <w:rPr>
          <w:rFonts w:hint="eastAsia" w:ascii="宋体"/>
          <w:b/>
          <w:bCs/>
          <w:sz w:val="22"/>
          <w:szCs w:val="22"/>
        </w:rPr>
        <w:t>，则需重新提交相关资料</w:t>
      </w:r>
      <w:r>
        <w:rPr>
          <w:rFonts w:hint="eastAsia" w:ascii="宋体"/>
          <w:b/>
          <w:bCs/>
          <w:sz w:val="22"/>
          <w:szCs w:val="22"/>
          <w:lang w:eastAsia="zh-CN"/>
        </w:rPr>
        <w:t>。</w:t>
      </w:r>
    </w:p>
    <w:p w14:paraId="52DF9D8C">
      <w:pPr>
        <w:widowControl/>
        <w:numPr>
          <w:ilvl w:val="0"/>
          <w:numId w:val="1"/>
        </w:numPr>
        <w:adjustRightInd w:val="0"/>
        <w:snapToGrid w:val="0"/>
        <w:spacing w:line="360" w:lineRule="auto"/>
        <w:ind w:left="690" w:hanging="360"/>
        <w:jc w:val="left"/>
        <w:rPr>
          <w:b/>
          <w:bCs/>
          <w:color w:val="000000"/>
          <w:sz w:val="24"/>
          <w:u w:val="thick"/>
        </w:rPr>
      </w:pPr>
      <w:r>
        <w:rPr>
          <w:rFonts w:hint="eastAsia"/>
          <w:sz w:val="22"/>
          <w:szCs w:val="22"/>
        </w:rPr>
        <w:t>车辆用户</w:t>
      </w:r>
      <w:r>
        <w:rPr>
          <w:rFonts w:hint="eastAsia"/>
          <w:sz w:val="22"/>
          <w:szCs w:val="22"/>
          <w:lang w:val="en-US" w:eastAsia="zh-CN"/>
        </w:rPr>
        <w:t>初次</w:t>
      </w:r>
      <w:r>
        <w:rPr>
          <w:rFonts w:hint="eastAsia"/>
          <w:sz w:val="22"/>
          <w:szCs w:val="22"/>
        </w:rPr>
        <w:t>办理</w:t>
      </w:r>
      <w:r>
        <w:rPr>
          <w:rFonts w:hint="eastAsia" w:ascii="宋体"/>
          <w:b/>
          <w:bCs/>
          <w:sz w:val="22"/>
          <w:szCs w:val="22"/>
          <w:lang w:val="en-US" w:eastAsia="zh-CN"/>
        </w:rPr>
        <w:t>固定</w:t>
      </w:r>
      <w:r>
        <w:rPr>
          <w:rFonts w:hint="eastAsia"/>
          <w:b/>
          <w:bCs/>
          <w:sz w:val="22"/>
          <w:szCs w:val="22"/>
          <w:lang w:val="en-US" w:eastAsia="zh-CN"/>
        </w:rPr>
        <w:t>月租车</w:t>
      </w:r>
      <w:r>
        <w:rPr>
          <w:rFonts w:hint="eastAsia"/>
          <w:sz w:val="22"/>
          <w:szCs w:val="22"/>
        </w:rPr>
        <w:t>须</w:t>
      </w:r>
      <w:r>
        <w:rPr>
          <w:rFonts w:hint="eastAsia"/>
          <w:sz w:val="22"/>
          <w:szCs w:val="22"/>
          <w:lang w:val="en-US" w:eastAsia="zh-CN"/>
        </w:rPr>
        <w:t>向甲方提供行驶证复印件及医社保证明等资料，甲方将乙方车辆信息录入系统后，乙方可到“i车位”公众号按需求缴交月租车费用</w:t>
      </w:r>
      <w:r>
        <w:rPr>
          <w:rFonts w:hint="eastAsia"/>
          <w:sz w:val="22"/>
          <w:szCs w:val="22"/>
        </w:rPr>
        <w:t>，</w:t>
      </w:r>
      <w:r>
        <w:rPr>
          <w:rFonts w:hint="eastAsia"/>
          <w:sz w:val="22"/>
          <w:szCs w:val="22"/>
          <w:lang w:val="en-US" w:eastAsia="zh-CN"/>
        </w:rPr>
        <w:t>系统会自动</w:t>
      </w:r>
      <w:r>
        <w:rPr>
          <w:rFonts w:hint="eastAsia"/>
          <w:sz w:val="22"/>
          <w:szCs w:val="22"/>
        </w:rPr>
        <w:t>为乙方车辆设定相应的使用有效期。</w:t>
      </w:r>
      <w:r>
        <w:rPr>
          <w:rFonts w:hint="eastAsia"/>
          <w:b/>
          <w:bCs/>
          <w:sz w:val="22"/>
          <w:szCs w:val="22"/>
        </w:rPr>
        <w:t>在有效期内如乙方</w:t>
      </w:r>
      <w:r>
        <w:rPr>
          <w:rFonts w:hint="eastAsia"/>
          <w:b/>
          <w:bCs/>
          <w:sz w:val="22"/>
          <w:szCs w:val="22"/>
          <w:lang w:val="en-US" w:eastAsia="zh-CN"/>
        </w:rPr>
        <w:t>需</w:t>
      </w:r>
      <w:r>
        <w:rPr>
          <w:rFonts w:hint="eastAsia"/>
          <w:b/>
          <w:bCs/>
          <w:sz w:val="22"/>
          <w:szCs w:val="22"/>
        </w:rPr>
        <w:t>提前终止使用，</w:t>
      </w:r>
      <w:r>
        <w:rPr>
          <w:rFonts w:hint="eastAsia"/>
          <w:b/>
          <w:bCs/>
          <w:sz w:val="22"/>
          <w:szCs w:val="22"/>
          <w:lang w:val="en-US" w:eastAsia="zh-CN"/>
        </w:rPr>
        <w:t>则按该车当期已过天数的临停封顶费计费扣减，退还剩余的月租费，提前终止使用的月租车，一年内不再接受办理月租车服务</w:t>
      </w:r>
      <w:r>
        <w:rPr>
          <w:rFonts w:hint="eastAsia"/>
          <w:sz w:val="22"/>
          <w:szCs w:val="22"/>
          <w:lang w:val="en-US" w:eastAsia="zh-CN"/>
        </w:rPr>
        <w:t>。</w:t>
      </w:r>
    </w:p>
    <w:p w14:paraId="30CE1B55">
      <w:pPr>
        <w:widowControl/>
        <w:numPr>
          <w:ilvl w:val="0"/>
          <w:numId w:val="1"/>
        </w:numPr>
        <w:adjustRightInd w:val="0"/>
        <w:snapToGrid w:val="0"/>
        <w:spacing w:line="360" w:lineRule="auto"/>
        <w:ind w:left="690" w:hanging="360"/>
        <w:jc w:val="left"/>
        <w:rPr>
          <w:color w:val="000000"/>
          <w:sz w:val="22"/>
          <w:szCs w:val="22"/>
        </w:rPr>
      </w:pPr>
      <w:r>
        <w:rPr>
          <w:rFonts w:hint="eastAsia"/>
          <w:color w:val="000000"/>
          <w:sz w:val="22"/>
          <w:szCs w:val="22"/>
        </w:rPr>
        <w:t>在停车场车位使用费有效期内乙方若变更停放车辆，须提前携带相关资料到</w:t>
      </w:r>
      <w:r>
        <w:rPr>
          <w:rFonts w:hint="eastAsia" w:ascii="宋体"/>
          <w:color w:val="000000"/>
          <w:sz w:val="22"/>
          <w:szCs w:val="22"/>
        </w:rPr>
        <w:t>甲</w:t>
      </w:r>
      <w:r>
        <w:rPr>
          <w:rFonts w:hint="eastAsia"/>
          <w:color w:val="000000"/>
          <w:sz w:val="22"/>
          <w:szCs w:val="22"/>
        </w:rPr>
        <w:t>方处办理变更手续。</w:t>
      </w:r>
    </w:p>
    <w:p w14:paraId="59E2D800">
      <w:pPr>
        <w:widowControl/>
        <w:numPr>
          <w:ilvl w:val="0"/>
          <w:numId w:val="1"/>
        </w:numPr>
        <w:adjustRightInd w:val="0"/>
        <w:snapToGrid w:val="0"/>
        <w:spacing w:line="360" w:lineRule="auto"/>
        <w:ind w:left="690" w:hanging="360"/>
        <w:jc w:val="left"/>
        <w:rPr>
          <w:color w:val="000000"/>
          <w:sz w:val="22"/>
          <w:szCs w:val="22"/>
        </w:rPr>
      </w:pPr>
      <w:r>
        <w:rPr>
          <w:rFonts w:hint="eastAsia"/>
          <w:color w:val="000000"/>
          <w:sz w:val="22"/>
          <w:szCs w:val="22"/>
        </w:rPr>
        <w:t>甲方收取的费用仅为停车场车位使用费和交通秩序维护费。乙方车辆用户停放车辆时须关闭并锁好车辆门窗，不在车内放置贵重物品，车辆及物品安全由乙方自行负责。</w:t>
      </w:r>
    </w:p>
    <w:p w14:paraId="3D2047C0">
      <w:pPr>
        <w:widowControl/>
        <w:numPr>
          <w:ilvl w:val="0"/>
          <w:numId w:val="1"/>
        </w:numPr>
        <w:adjustRightInd w:val="0"/>
        <w:snapToGrid w:val="0"/>
        <w:spacing w:line="360" w:lineRule="auto"/>
        <w:ind w:left="690" w:hanging="360"/>
        <w:jc w:val="left"/>
        <w:rPr>
          <w:rFonts w:ascii="宋体"/>
          <w:color w:val="000000"/>
          <w:sz w:val="22"/>
          <w:szCs w:val="22"/>
        </w:rPr>
      </w:pPr>
      <w:r>
        <w:rPr>
          <w:rFonts w:hint="eastAsia"/>
          <w:color w:val="000000"/>
          <w:sz w:val="22"/>
          <w:szCs w:val="22"/>
        </w:rPr>
        <w:t>乙方应清楚知晓并自愿遵守《</w:t>
      </w:r>
      <w:r>
        <w:rPr>
          <w:rFonts w:hint="eastAsia" w:ascii="宋体"/>
          <w:bCs/>
          <w:color w:val="000000"/>
          <w:sz w:val="22"/>
          <w:szCs w:val="22"/>
        </w:rPr>
        <w:t>厦门创业园机动车</w:t>
      </w:r>
      <w:r>
        <w:rPr>
          <w:color w:val="000000"/>
          <w:sz w:val="22"/>
          <w:szCs w:val="22"/>
        </w:rPr>
        <w:t>停车场管理规定</w:t>
      </w:r>
      <w:r>
        <w:rPr>
          <w:rFonts w:hint="eastAsia" w:ascii="宋体"/>
          <w:color w:val="000000"/>
          <w:sz w:val="22"/>
          <w:szCs w:val="22"/>
        </w:rPr>
        <w:t>》（本协议之附件，详见背面）。</w:t>
      </w:r>
    </w:p>
    <w:p w14:paraId="26957721">
      <w:pPr>
        <w:widowControl/>
        <w:numPr>
          <w:ilvl w:val="0"/>
          <w:numId w:val="1"/>
        </w:numPr>
        <w:adjustRightInd w:val="0"/>
        <w:snapToGrid w:val="0"/>
        <w:spacing w:line="360" w:lineRule="auto"/>
        <w:ind w:left="690" w:hanging="360"/>
        <w:jc w:val="left"/>
        <w:rPr>
          <w:rFonts w:ascii="宋体"/>
          <w:color w:val="000000"/>
          <w:sz w:val="22"/>
          <w:szCs w:val="22"/>
        </w:rPr>
      </w:pPr>
      <w:r>
        <w:rPr>
          <w:rFonts w:hint="eastAsia" w:ascii="宋体"/>
          <w:color w:val="000000"/>
          <w:sz w:val="22"/>
          <w:szCs w:val="22"/>
        </w:rPr>
        <w:t>未尽事宜，双方另行商定。执行中发生争议，可以申请仲裁或起诉。</w:t>
      </w:r>
    </w:p>
    <w:p w14:paraId="4B9A3FE6">
      <w:pPr>
        <w:widowControl/>
        <w:numPr>
          <w:ilvl w:val="0"/>
          <w:numId w:val="1"/>
        </w:numPr>
        <w:adjustRightInd w:val="0"/>
        <w:snapToGrid w:val="0"/>
        <w:spacing w:line="360" w:lineRule="auto"/>
        <w:ind w:left="690" w:hanging="360"/>
        <w:jc w:val="left"/>
        <w:rPr>
          <w:rFonts w:ascii="宋体"/>
          <w:color w:val="000000"/>
          <w:sz w:val="22"/>
          <w:szCs w:val="22"/>
        </w:rPr>
      </w:pPr>
      <w:r>
        <w:rPr>
          <w:rFonts w:hint="eastAsia" w:ascii="宋体"/>
          <w:color w:val="000000"/>
          <w:sz w:val="22"/>
          <w:szCs w:val="22"/>
        </w:rPr>
        <w:t>本协议一式两份，双方签章后生效；甲乙双方各持一份。</w:t>
      </w:r>
    </w:p>
    <w:p w14:paraId="52F8CE5B">
      <w:pPr>
        <w:widowControl/>
        <w:wordWrap w:val="0"/>
        <w:spacing w:line="480" w:lineRule="auto"/>
        <w:jc w:val="left"/>
        <w:rPr>
          <w:color w:val="000000"/>
          <w:sz w:val="22"/>
          <w:szCs w:val="22"/>
        </w:rPr>
      </w:pPr>
    </w:p>
    <w:p w14:paraId="7914F4E2">
      <w:pPr>
        <w:widowControl/>
        <w:wordWrap w:val="0"/>
        <w:spacing w:line="480" w:lineRule="auto"/>
        <w:ind w:left="0" w:leftChars="0" w:firstLine="638" w:firstLineChars="290"/>
        <w:jc w:val="left"/>
        <w:rPr>
          <w:color w:val="000000"/>
          <w:sz w:val="22"/>
          <w:szCs w:val="22"/>
        </w:rPr>
      </w:pPr>
      <w:r>
        <w:rPr>
          <w:rFonts w:hint="eastAsia"/>
          <w:color w:val="000000"/>
          <w:sz w:val="22"/>
          <w:szCs w:val="22"/>
        </w:rPr>
        <w:t>甲 方：                                    乙方盖章（或个人签字）：</w:t>
      </w:r>
    </w:p>
    <w:p w14:paraId="1836CCC4">
      <w:pPr>
        <w:widowControl/>
        <w:adjustRightInd w:val="0"/>
        <w:snapToGrid w:val="0"/>
        <w:spacing w:line="480" w:lineRule="auto"/>
        <w:ind w:left="0" w:leftChars="0" w:firstLine="638" w:firstLineChars="290"/>
        <w:jc w:val="left"/>
        <w:rPr>
          <w:color w:val="000000"/>
          <w:sz w:val="22"/>
          <w:szCs w:val="22"/>
        </w:rPr>
      </w:pPr>
      <w:r>
        <w:rPr>
          <w:rFonts w:hint="eastAsia"/>
          <w:color w:val="000000"/>
          <w:sz w:val="22"/>
          <w:szCs w:val="22"/>
        </w:rPr>
        <w:t>代 表：                                    单位代表（或身份证号码）：</w:t>
      </w:r>
    </w:p>
    <w:p w14:paraId="07CA0592">
      <w:pPr>
        <w:widowControl/>
        <w:adjustRightInd w:val="0"/>
        <w:snapToGrid w:val="0"/>
        <w:spacing w:line="480" w:lineRule="auto"/>
        <w:ind w:left="0" w:leftChars="0" w:firstLine="638" w:firstLineChars="290"/>
        <w:jc w:val="left"/>
        <w:rPr>
          <w:rFonts w:hint="eastAsia"/>
          <w:color w:val="000000"/>
          <w:sz w:val="22"/>
          <w:szCs w:val="22"/>
        </w:rPr>
      </w:pPr>
      <w:r>
        <w:rPr>
          <w:rFonts w:hint="eastAsia"/>
          <w:color w:val="000000"/>
          <w:sz w:val="22"/>
          <w:szCs w:val="22"/>
        </w:rPr>
        <w:t>日 期：      年   月   日                  日期：     年   月   日</w:t>
      </w:r>
    </w:p>
    <w:p w14:paraId="6D276657">
      <w:pPr>
        <w:rPr>
          <w:rFonts w:hint="eastAsia"/>
          <w:color w:val="000000"/>
          <w:sz w:val="22"/>
          <w:szCs w:val="22"/>
        </w:rPr>
      </w:pPr>
    </w:p>
    <w:p w14:paraId="4675368D">
      <w:pPr>
        <w:widowControl/>
        <w:spacing w:line="300" w:lineRule="exact"/>
        <w:jc w:val="center"/>
        <w:rPr>
          <w:b/>
          <w:sz w:val="30"/>
          <w:szCs w:val="32"/>
        </w:rPr>
      </w:pPr>
      <w:r>
        <w:rPr>
          <w:rFonts w:hint="eastAsia" w:ascii="宋体"/>
          <w:b/>
          <w:sz w:val="30"/>
          <w:szCs w:val="32"/>
        </w:rPr>
        <w:t>厦门创业园机动车</w:t>
      </w:r>
      <w:r>
        <w:rPr>
          <w:b/>
          <w:sz w:val="30"/>
          <w:szCs w:val="32"/>
        </w:rPr>
        <w:t>停车场管理规定</w:t>
      </w:r>
    </w:p>
    <w:p w14:paraId="1A7B5B45">
      <w:pPr>
        <w:widowControl/>
        <w:spacing w:line="300" w:lineRule="exact"/>
        <w:jc w:val="center"/>
        <w:rPr>
          <w:rFonts w:ascii="黑体" w:eastAsia="黑体"/>
          <w:b/>
          <w:bCs/>
          <w:sz w:val="30"/>
          <w:szCs w:val="32"/>
        </w:rPr>
      </w:pPr>
    </w:p>
    <w:p w14:paraId="3F227CEC">
      <w:pPr>
        <w:keepNext w:val="0"/>
        <w:keepLines w:val="0"/>
        <w:pageBreakBefore w:val="0"/>
        <w:widowControl/>
        <w:numPr>
          <w:ilvl w:val="0"/>
          <w:numId w:val="2"/>
        </w:numPr>
        <w:tabs>
          <w:tab w:val="left" w:pos="480"/>
          <w:tab w:val="clear" w:pos="425"/>
        </w:tabs>
        <w:kinsoku/>
        <w:wordWrap/>
        <w:overflowPunct/>
        <w:topLinePunct w:val="0"/>
        <w:autoSpaceDE/>
        <w:autoSpaceDN/>
        <w:bidi w:val="0"/>
        <w:adjustRightInd w:val="0"/>
        <w:snapToGrid w:val="0"/>
        <w:spacing w:line="320" w:lineRule="exact"/>
        <w:ind w:left="482" w:hanging="482"/>
        <w:jc w:val="left"/>
        <w:textAlignment w:val="auto"/>
        <w:rPr>
          <w:rFonts w:ascii="宋体"/>
          <w:sz w:val="21"/>
          <w:szCs w:val="21"/>
        </w:rPr>
      </w:pPr>
      <w:r>
        <w:rPr>
          <w:rFonts w:hint="eastAsia" w:ascii="宋体"/>
          <w:sz w:val="21"/>
          <w:szCs w:val="21"/>
        </w:rPr>
        <w:t>为切实加强创业园（以下简称园区）机动车辆停放和交通秩序管理，限制社会闲散车辆占用园区有限的资源，更好地维护停车人和园区的利益，结合本园区的实际情况，特制定本机动车停车场管理规定。</w:t>
      </w:r>
    </w:p>
    <w:p w14:paraId="42FD8EBD">
      <w:pPr>
        <w:keepNext w:val="0"/>
        <w:keepLines w:val="0"/>
        <w:pageBreakBefore w:val="0"/>
        <w:widowControl/>
        <w:numPr>
          <w:ilvl w:val="0"/>
          <w:numId w:val="2"/>
        </w:numPr>
        <w:tabs>
          <w:tab w:val="left" w:pos="480"/>
          <w:tab w:val="clear" w:pos="425"/>
        </w:tabs>
        <w:kinsoku/>
        <w:wordWrap/>
        <w:overflowPunct/>
        <w:topLinePunct w:val="0"/>
        <w:autoSpaceDE/>
        <w:autoSpaceDN/>
        <w:bidi w:val="0"/>
        <w:adjustRightInd w:val="0"/>
        <w:snapToGrid w:val="0"/>
        <w:spacing w:line="320" w:lineRule="exact"/>
        <w:ind w:left="482" w:hanging="482"/>
        <w:jc w:val="left"/>
        <w:textAlignment w:val="auto"/>
        <w:rPr>
          <w:rFonts w:ascii="宋体"/>
          <w:sz w:val="21"/>
          <w:szCs w:val="21"/>
        </w:rPr>
      </w:pPr>
      <w:r>
        <w:rPr>
          <w:rFonts w:hint="eastAsia" w:ascii="宋体"/>
          <w:sz w:val="21"/>
          <w:szCs w:val="21"/>
        </w:rPr>
        <w:t>园区实行封闭管理，机动车辆在园区内有偿停放。载客客车可以从东大门或北大门进出，载货车辆（含客货混载、客车载货等）一律从北大门进出。</w:t>
      </w:r>
    </w:p>
    <w:p w14:paraId="4B15827C">
      <w:pPr>
        <w:keepNext w:val="0"/>
        <w:keepLines w:val="0"/>
        <w:pageBreakBefore w:val="0"/>
        <w:widowControl/>
        <w:numPr>
          <w:ilvl w:val="0"/>
          <w:numId w:val="2"/>
        </w:numPr>
        <w:tabs>
          <w:tab w:val="left" w:pos="480"/>
          <w:tab w:val="clear" w:pos="425"/>
        </w:tabs>
        <w:kinsoku/>
        <w:wordWrap/>
        <w:overflowPunct/>
        <w:topLinePunct w:val="0"/>
        <w:autoSpaceDE/>
        <w:autoSpaceDN/>
        <w:bidi w:val="0"/>
        <w:adjustRightInd w:val="0"/>
        <w:snapToGrid w:val="0"/>
        <w:spacing w:line="320" w:lineRule="exact"/>
        <w:ind w:left="482" w:hanging="482"/>
        <w:jc w:val="left"/>
        <w:textAlignment w:val="auto"/>
        <w:rPr>
          <w:rFonts w:ascii="宋体"/>
          <w:sz w:val="21"/>
          <w:szCs w:val="21"/>
        </w:rPr>
      </w:pPr>
      <w:r>
        <w:rPr>
          <w:rFonts w:hint="eastAsia" w:ascii="宋体"/>
          <w:sz w:val="21"/>
          <w:szCs w:val="21"/>
        </w:rPr>
        <w:t>厦门高新技术创业中心有限公司（以下简称创业中心）是园区的主管单位，进出园区车辆的日常监督与管理工作由创业中心聘请的物业管理单位承担。</w:t>
      </w:r>
    </w:p>
    <w:p w14:paraId="27BEE6A3">
      <w:pPr>
        <w:keepNext w:val="0"/>
        <w:keepLines w:val="0"/>
        <w:pageBreakBefore w:val="0"/>
        <w:widowControl/>
        <w:numPr>
          <w:ilvl w:val="0"/>
          <w:numId w:val="2"/>
        </w:numPr>
        <w:tabs>
          <w:tab w:val="left" w:pos="480"/>
          <w:tab w:val="clear" w:pos="425"/>
        </w:tabs>
        <w:kinsoku/>
        <w:wordWrap/>
        <w:overflowPunct/>
        <w:topLinePunct w:val="0"/>
        <w:autoSpaceDE/>
        <w:autoSpaceDN/>
        <w:bidi w:val="0"/>
        <w:adjustRightInd w:val="0"/>
        <w:snapToGrid w:val="0"/>
        <w:spacing w:line="320" w:lineRule="exact"/>
        <w:ind w:left="482" w:hanging="482"/>
        <w:jc w:val="left"/>
        <w:textAlignment w:val="auto"/>
        <w:rPr>
          <w:rFonts w:ascii="宋体"/>
          <w:sz w:val="21"/>
          <w:szCs w:val="21"/>
        </w:rPr>
      </w:pPr>
      <w:r>
        <w:rPr>
          <w:rFonts w:hint="eastAsia" w:ascii="宋体"/>
          <w:sz w:val="21"/>
          <w:szCs w:val="21"/>
        </w:rPr>
        <w:t>园区机动车辆停车场包括地下停车场和地面停车场位。地下停车场仅供给园区企业及其员工使用，地面停车场位供给园区企业及其员工、外来办事车辆停放使用。进入园区停放的机动车辆，须按规定标准缴纳停车场位使用费（详见《厦门创业园机动车停车场车辆停放收费标准》）。</w:t>
      </w:r>
    </w:p>
    <w:p w14:paraId="3BF6A8BD">
      <w:pPr>
        <w:keepNext w:val="0"/>
        <w:keepLines w:val="0"/>
        <w:pageBreakBefore w:val="0"/>
        <w:widowControl/>
        <w:numPr>
          <w:ilvl w:val="0"/>
          <w:numId w:val="2"/>
        </w:numPr>
        <w:tabs>
          <w:tab w:val="left" w:pos="480"/>
          <w:tab w:val="clear" w:pos="425"/>
        </w:tabs>
        <w:kinsoku/>
        <w:wordWrap/>
        <w:overflowPunct/>
        <w:topLinePunct w:val="0"/>
        <w:autoSpaceDE/>
        <w:autoSpaceDN/>
        <w:bidi w:val="0"/>
        <w:adjustRightInd w:val="0"/>
        <w:snapToGrid w:val="0"/>
        <w:spacing w:line="320" w:lineRule="exact"/>
        <w:ind w:left="482" w:hanging="482"/>
        <w:jc w:val="left"/>
        <w:textAlignment w:val="auto"/>
        <w:rPr>
          <w:rFonts w:ascii="宋体"/>
          <w:sz w:val="21"/>
          <w:szCs w:val="21"/>
        </w:rPr>
      </w:pPr>
      <w:r>
        <w:rPr>
          <w:rFonts w:hint="eastAsia" w:ascii="宋体"/>
          <w:sz w:val="21"/>
          <w:szCs w:val="21"/>
        </w:rPr>
        <w:t>园区车辆进出停放分为固定用户和临时用户。固定用户是指在园区办理</w:t>
      </w:r>
      <w:r>
        <w:rPr>
          <w:rFonts w:hint="eastAsia" w:ascii="宋体"/>
          <w:b/>
          <w:bCs/>
          <w:szCs w:val="21"/>
        </w:rPr>
        <w:t>固定</w:t>
      </w:r>
      <w:r>
        <w:rPr>
          <w:rFonts w:hint="eastAsia" w:ascii="宋体"/>
          <w:b/>
          <w:bCs/>
          <w:szCs w:val="21"/>
          <w:lang w:val="en-US" w:eastAsia="zh-CN"/>
        </w:rPr>
        <w:t>月租车</w:t>
      </w:r>
      <w:r>
        <w:rPr>
          <w:rFonts w:hint="eastAsia" w:ascii="宋体"/>
          <w:sz w:val="21"/>
          <w:szCs w:val="21"/>
        </w:rPr>
        <w:t>的车辆，仅对园区企业及其员工车辆办理，临时用户是指未办理</w:t>
      </w:r>
      <w:r>
        <w:rPr>
          <w:rFonts w:hint="eastAsia" w:ascii="宋体"/>
          <w:b/>
          <w:bCs/>
          <w:szCs w:val="21"/>
        </w:rPr>
        <w:t>固定</w:t>
      </w:r>
      <w:r>
        <w:rPr>
          <w:rFonts w:hint="eastAsia" w:ascii="宋体"/>
          <w:b/>
          <w:bCs/>
          <w:szCs w:val="21"/>
          <w:lang w:val="en-US" w:eastAsia="zh-CN"/>
        </w:rPr>
        <w:t>月租车</w:t>
      </w:r>
      <w:r>
        <w:rPr>
          <w:rFonts w:hint="eastAsia" w:ascii="宋体"/>
          <w:sz w:val="21"/>
          <w:szCs w:val="21"/>
        </w:rPr>
        <w:t>车辆及来园区办事的临时进出车辆。</w:t>
      </w:r>
    </w:p>
    <w:p w14:paraId="37BA6BC6">
      <w:pPr>
        <w:keepNext w:val="0"/>
        <w:keepLines w:val="0"/>
        <w:pageBreakBefore w:val="0"/>
        <w:widowControl/>
        <w:numPr>
          <w:ilvl w:val="0"/>
          <w:numId w:val="2"/>
        </w:numPr>
        <w:tabs>
          <w:tab w:val="left" w:pos="480"/>
          <w:tab w:val="clear" w:pos="425"/>
        </w:tabs>
        <w:kinsoku/>
        <w:wordWrap/>
        <w:overflowPunct/>
        <w:topLinePunct w:val="0"/>
        <w:autoSpaceDE/>
        <w:autoSpaceDN/>
        <w:bidi w:val="0"/>
        <w:adjustRightInd w:val="0"/>
        <w:snapToGrid w:val="0"/>
        <w:spacing w:line="320" w:lineRule="exact"/>
        <w:ind w:left="482" w:hanging="482"/>
        <w:jc w:val="left"/>
        <w:textAlignment w:val="auto"/>
        <w:rPr>
          <w:rFonts w:ascii="宋体"/>
          <w:sz w:val="21"/>
          <w:szCs w:val="21"/>
        </w:rPr>
      </w:pPr>
      <w:r>
        <w:rPr>
          <w:rFonts w:hint="eastAsia" w:ascii="宋体"/>
          <w:sz w:val="21"/>
          <w:szCs w:val="21"/>
        </w:rPr>
        <w:t>园区停车管理采用智能识别系统。办理固定用户车辆须提供车辆行驶证复印件、证明为园区企业员工的材料，签定停车协议，并缴纳停车场位使用费。由停车系统管理员录入到停车系统内，固定用户车辆在缴费有效期内，车辆慢速行驶到停车系统出口道闸前，系统判断识别后，道杆会自动抬起放行。临时用户</w:t>
      </w:r>
      <w:r>
        <w:rPr>
          <w:rFonts w:hint="eastAsia" w:ascii="ˎ̥" w:hAnsi="ˎ̥"/>
          <w:sz w:val="21"/>
          <w:szCs w:val="21"/>
        </w:rPr>
        <w:t>车辆直接入园，出园时系统会把本次停车金额直接显示在屏幕上，缴费完毕后道杆自动抬起放行。</w:t>
      </w:r>
    </w:p>
    <w:p w14:paraId="683933C6">
      <w:pPr>
        <w:keepNext w:val="0"/>
        <w:keepLines w:val="0"/>
        <w:pageBreakBefore w:val="0"/>
        <w:widowControl/>
        <w:numPr>
          <w:ilvl w:val="0"/>
          <w:numId w:val="2"/>
        </w:numPr>
        <w:tabs>
          <w:tab w:val="left" w:pos="480"/>
          <w:tab w:val="clear" w:pos="425"/>
        </w:tabs>
        <w:kinsoku/>
        <w:wordWrap/>
        <w:overflowPunct/>
        <w:topLinePunct w:val="0"/>
        <w:autoSpaceDE/>
        <w:autoSpaceDN/>
        <w:bidi w:val="0"/>
        <w:adjustRightInd w:val="0"/>
        <w:snapToGrid w:val="0"/>
        <w:spacing w:line="320" w:lineRule="exact"/>
        <w:ind w:left="482" w:hanging="482"/>
        <w:jc w:val="left"/>
        <w:textAlignment w:val="auto"/>
        <w:rPr>
          <w:rFonts w:ascii="宋体"/>
          <w:sz w:val="21"/>
          <w:szCs w:val="21"/>
        </w:rPr>
      </w:pPr>
      <w:r>
        <w:rPr>
          <w:rFonts w:hint="eastAsia" w:ascii="ˎ̥" w:hAnsi="ˎ̥"/>
          <w:sz w:val="21"/>
          <w:szCs w:val="21"/>
        </w:rPr>
        <w:t>固定用户</w:t>
      </w:r>
      <w:r>
        <w:rPr>
          <w:rFonts w:hint="eastAsia"/>
          <w:sz w:val="21"/>
          <w:szCs w:val="21"/>
        </w:rPr>
        <w:t>到期前</w:t>
      </w:r>
      <w:r>
        <w:rPr>
          <w:rFonts w:hint="eastAsia" w:ascii="宋体"/>
          <w:sz w:val="21"/>
          <w:szCs w:val="21"/>
        </w:rPr>
        <w:t>15</w:t>
      </w:r>
      <w:r>
        <w:rPr>
          <w:rFonts w:hint="eastAsia"/>
          <w:sz w:val="21"/>
          <w:szCs w:val="21"/>
        </w:rPr>
        <w:t>日内，停车系统会自动在屏幕上提醒到期剩余日，固定用户需及时续费，逾期未交纳下一期停车场位使用费的，固定车辆进出将被系统自动识别为临时车辆，按临时车辆缴费方可放行。</w:t>
      </w:r>
    </w:p>
    <w:p w14:paraId="4BCC6C5B">
      <w:pPr>
        <w:keepNext w:val="0"/>
        <w:keepLines w:val="0"/>
        <w:pageBreakBefore w:val="0"/>
        <w:widowControl/>
        <w:numPr>
          <w:ilvl w:val="0"/>
          <w:numId w:val="2"/>
        </w:numPr>
        <w:tabs>
          <w:tab w:val="left" w:pos="480"/>
          <w:tab w:val="clear" w:pos="425"/>
        </w:tabs>
        <w:kinsoku/>
        <w:wordWrap/>
        <w:overflowPunct/>
        <w:topLinePunct w:val="0"/>
        <w:autoSpaceDE/>
        <w:autoSpaceDN/>
        <w:bidi w:val="0"/>
        <w:adjustRightInd w:val="0"/>
        <w:snapToGrid w:val="0"/>
        <w:spacing w:line="320" w:lineRule="exact"/>
        <w:ind w:left="482" w:hanging="482"/>
        <w:jc w:val="left"/>
        <w:textAlignment w:val="auto"/>
        <w:rPr>
          <w:rFonts w:ascii="宋体"/>
          <w:sz w:val="21"/>
          <w:szCs w:val="21"/>
        </w:rPr>
      </w:pPr>
      <w:r>
        <w:rPr>
          <w:rFonts w:hint="eastAsia" w:ascii="宋体"/>
          <w:sz w:val="21"/>
          <w:szCs w:val="21"/>
        </w:rPr>
        <w:t>进入园区的机动车辆，必须按照规定线路行驶，不准逆向行驶、不准使用高音喇叭，时速不得超过15公里，不得碾压绿化带和人行道。进入园区的车辆，必须停放在停车场车辆泊位内，不得越位、跨位停放、不得随意占道停车，严禁在消防通道、楼宇门口或绿化带上停车。任何违规停放的车辆将被处罚200元-500元或拖曳，除交纳停车费外，还须承担拖车费用。</w:t>
      </w:r>
    </w:p>
    <w:p w14:paraId="4C042302">
      <w:pPr>
        <w:keepNext w:val="0"/>
        <w:keepLines w:val="0"/>
        <w:pageBreakBefore w:val="0"/>
        <w:widowControl/>
        <w:numPr>
          <w:ilvl w:val="0"/>
          <w:numId w:val="2"/>
        </w:numPr>
        <w:tabs>
          <w:tab w:val="left" w:pos="480"/>
          <w:tab w:val="clear" w:pos="425"/>
        </w:tabs>
        <w:kinsoku/>
        <w:wordWrap/>
        <w:overflowPunct/>
        <w:topLinePunct w:val="0"/>
        <w:autoSpaceDE/>
        <w:autoSpaceDN/>
        <w:bidi w:val="0"/>
        <w:adjustRightInd w:val="0"/>
        <w:snapToGrid w:val="0"/>
        <w:spacing w:line="320" w:lineRule="exact"/>
        <w:ind w:left="482" w:hanging="482"/>
        <w:jc w:val="left"/>
        <w:textAlignment w:val="auto"/>
        <w:rPr>
          <w:rFonts w:ascii="宋体"/>
          <w:sz w:val="21"/>
          <w:szCs w:val="21"/>
        </w:rPr>
      </w:pPr>
      <w:r>
        <w:rPr>
          <w:rFonts w:hint="eastAsia" w:ascii="宋体"/>
          <w:sz w:val="21"/>
          <w:szCs w:val="21"/>
        </w:rPr>
        <w:t>严禁携带易燃易爆、危化品及污染物等不安全物品的车辆、车身严重污损的车辆、摩托车、超过安全规定的电动车进入园区行驶或停放。</w:t>
      </w:r>
    </w:p>
    <w:p w14:paraId="1D17D957">
      <w:pPr>
        <w:keepNext w:val="0"/>
        <w:keepLines w:val="0"/>
        <w:pageBreakBefore w:val="0"/>
        <w:widowControl/>
        <w:numPr>
          <w:ilvl w:val="0"/>
          <w:numId w:val="2"/>
        </w:numPr>
        <w:tabs>
          <w:tab w:val="left" w:pos="480"/>
          <w:tab w:val="clear" w:pos="425"/>
        </w:tabs>
        <w:kinsoku/>
        <w:wordWrap/>
        <w:overflowPunct/>
        <w:topLinePunct w:val="0"/>
        <w:autoSpaceDE/>
        <w:autoSpaceDN/>
        <w:bidi w:val="0"/>
        <w:adjustRightInd w:val="0"/>
        <w:snapToGrid w:val="0"/>
        <w:spacing w:line="320" w:lineRule="exact"/>
        <w:ind w:left="482" w:hanging="482"/>
        <w:jc w:val="left"/>
        <w:textAlignment w:val="auto"/>
        <w:rPr>
          <w:rFonts w:ascii="宋体"/>
          <w:sz w:val="21"/>
          <w:szCs w:val="21"/>
        </w:rPr>
      </w:pPr>
      <w:r>
        <w:rPr>
          <w:rFonts w:hint="eastAsia" w:ascii="宋体"/>
          <w:sz w:val="21"/>
          <w:szCs w:val="21"/>
        </w:rPr>
        <w:t>机动车辆进出园区时，须等前车通过、道杆放下后才可通行，</w:t>
      </w:r>
      <w:r>
        <w:rPr>
          <w:rFonts w:hint="eastAsia"/>
          <w:sz w:val="21"/>
          <w:szCs w:val="21"/>
        </w:rPr>
        <w:t>以免道杆落下时碰坏车辆或道杆。机动车辆在园内行驶时，驾驶人员要认真观察，谨慎驾驶，减速慢行。尤其地下车库场地狭窄，光线较暗，更要特别注意。如发生车辆刮、擦、碰、蹭或损坏园区公共设施、设备，由责任人承担修复和赔偿责任。</w:t>
      </w:r>
    </w:p>
    <w:p w14:paraId="4B8D884F">
      <w:pPr>
        <w:keepNext w:val="0"/>
        <w:keepLines w:val="0"/>
        <w:pageBreakBefore w:val="0"/>
        <w:widowControl/>
        <w:numPr>
          <w:ilvl w:val="0"/>
          <w:numId w:val="2"/>
        </w:numPr>
        <w:tabs>
          <w:tab w:val="left" w:pos="480"/>
          <w:tab w:val="clear" w:pos="425"/>
        </w:tabs>
        <w:kinsoku/>
        <w:wordWrap/>
        <w:overflowPunct/>
        <w:topLinePunct w:val="0"/>
        <w:autoSpaceDE/>
        <w:autoSpaceDN/>
        <w:bidi w:val="0"/>
        <w:adjustRightInd w:val="0"/>
        <w:snapToGrid w:val="0"/>
        <w:spacing w:line="320" w:lineRule="exact"/>
        <w:ind w:left="482" w:hanging="482"/>
        <w:jc w:val="left"/>
        <w:textAlignment w:val="auto"/>
        <w:rPr>
          <w:rFonts w:ascii="宋体"/>
          <w:sz w:val="21"/>
          <w:szCs w:val="21"/>
        </w:rPr>
      </w:pPr>
      <w:r>
        <w:rPr>
          <w:rFonts w:hint="eastAsia" w:ascii="宋体"/>
          <w:sz w:val="21"/>
          <w:szCs w:val="21"/>
        </w:rPr>
        <w:t>进入园区停放的车辆，驾驶人员离车前须拉紧手刹、关闭车窗、锁好车门（防盗系统设到工作状态），</w:t>
      </w:r>
      <w:r>
        <w:rPr>
          <w:rFonts w:hint="eastAsia"/>
          <w:sz w:val="21"/>
          <w:szCs w:val="21"/>
        </w:rPr>
        <w:t>不在车内存放贵重物品，</w:t>
      </w:r>
      <w:r>
        <w:rPr>
          <w:rFonts w:hint="eastAsia" w:ascii="宋体"/>
          <w:sz w:val="21"/>
          <w:szCs w:val="21"/>
        </w:rPr>
        <w:t>以防失窃，否则后果自负。</w:t>
      </w:r>
    </w:p>
    <w:p w14:paraId="43F3111E">
      <w:pPr>
        <w:keepNext w:val="0"/>
        <w:keepLines w:val="0"/>
        <w:pageBreakBefore w:val="0"/>
        <w:widowControl/>
        <w:numPr>
          <w:ilvl w:val="0"/>
          <w:numId w:val="2"/>
        </w:numPr>
        <w:tabs>
          <w:tab w:val="left" w:pos="480"/>
          <w:tab w:val="clear" w:pos="425"/>
        </w:tabs>
        <w:kinsoku/>
        <w:wordWrap/>
        <w:overflowPunct/>
        <w:topLinePunct w:val="0"/>
        <w:autoSpaceDE/>
        <w:autoSpaceDN/>
        <w:bidi w:val="0"/>
        <w:adjustRightInd w:val="0"/>
        <w:snapToGrid w:val="0"/>
        <w:spacing w:line="320" w:lineRule="exact"/>
        <w:ind w:left="482" w:hanging="482"/>
        <w:jc w:val="left"/>
        <w:textAlignment w:val="auto"/>
        <w:rPr>
          <w:rFonts w:ascii="宋体"/>
          <w:sz w:val="21"/>
          <w:szCs w:val="21"/>
        </w:rPr>
      </w:pPr>
      <w:r>
        <w:rPr>
          <w:rFonts w:hint="eastAsia" w:ascii="宋体"/>
          <w:sz w:val="21"/>
          <w:szCs w:val="21"/>
        </w:rPr>
        <w:t>进入园区的机动车的驾乘人员须共同遵守园区车辆交通秩序、停放的安全和环境卫生，不准在园区内练习驾驶、试车、洗车、修车，不准乱扔废弃物。违者管理人员有权要求其清理恢复后才予放行。</w:t>
      </w:r>
    </w:p>
    <w:p w14:paraId="2250D20B">
      <w:pPr>
        <w:keepNext w:val="0"/>
        <w:keepLines w:val="0"/>
        <w:pageBreakBefore w:val="0"/>
        <w:widowControl/>
        <w:numPr>
          <w:ilvl w:val="0"/>
          <w:numId w:val="2"/>
        </w:numPr>
        <w:tabs>
          <w:tab w:val="left" w:pos="480"/>
          <w:tab w:val="clear" w:pos="425"/>
        </w:tabs>
        <w:kinsoku/>
        <w:wordWrap/>
        <w:overflowPunct/>
        <w:topLinePunct w:val="0"/>
        <w:autoSpaceDE/>
        <w:autoSpaceDN/>
        <w:bidi w:val="0"/>
        <w:adjustRightInd w:val="0"/>
        <w:snapToGrid w:val="0"/>
        <w:spacing w:line="320" w:lineRule="exact"/>
        <w:ind w:left="482" w:hanging="482"/>
        <w:jc w:val="left"/>
        <w:textAlignment w:val="auto"/>
        <w:rPr>
          <w:rFonts w:ascii="宋体"/>
          <w:sz w:val="21"/>
          <w:szCs w:val="21"/>
        </w:rPr>
      </w:pPr>
      <w:r>
        <w:rPr>
          <w:rFonts w:hint="eastAsia" w:ascii="宋体"/>
          <w:sz w:val="21"/>
          <w:szCs w:val="21"/>
        </w:rPr>
        <w:t>园区机动车辆管理人员要严格管理、文明服务。进入园区停放车辆的驾驶员要遵守本规定，配合管理人员工作。如有意见和疑问，可向创业中心或物业</w:t>
      </w:r>
      <w:r>
        <w:rPr>
          <w:rFonts w:hint="eastAsia" w:ascii="宋体"/>
          <w:sz w:val="21"/>
          <w:szCs w:val="21"/>
          <w:lang w:val="en-US" w:eastAsia="zh-CN"/>
        </w:rPr>
        <w:t>服务处</w:t>
      </w:r>
      <w:r>
        <w:rPr>
          <w:rFonts w:hint="eastAsia" w:ascii="宋体"/>
          <w:sz w:val="21"/>
          <w:szCs w:val="21"/>
        </w:rPr>
        <w:t>投诉和反映。</w:t>
      </w:r>
    </w:p>
    <w:p w14:paraId="5CE8BF7D">
      <w:pPr>
        <w:keepNext w:val="0"/>
        <w:keepLines w:val="0"/>
        <w:pageBreakBefore w:val="0"/>
        <w:widowControl/>
        <w:numPr>
          <w:ilvl w:val="0"/>
          <w:numId w:val="2"/>
        </w:numPr>
        <w:tabs>
          <w:tab w:val="left" w:pos="480"/>
          <w:tab w:val="clear" w:pos="425"/>
        </w:tabs>
        <w:kinsoku/>
        <w:wordWrap/>
        <w:overflowPunct/>
        <w:topLinePunct w:val="0"/>
        <w:autoSpaceDE/>
        <w:autoSpaceDN/>
        <w:bidi w:val="0"/>
        <w:adjustRightInd w:val="0"/>
        <w:snapToGrid w:val="0"/>
        <w:spacing w:line="320" w:lineRule="exact"/>
        <w:ind w:left="482" w:hanging="482"/>
        <w:jc w:val="left"/>
        <w:textAlignment w:val="auto"/>
        <w:rPr>
          <w:rFonts w:ascii="宋体"/>
          <w:sz w:val="21"/>
          <w:szCs w:val="21"/>
        </w:rPr>
      </w:pPr>
      <w:r>
        <w:rPr>
          <w:rFonts w:hint="eastAsia" w:ascii="宋体"/>
          <w:b/>
          <w:bCs/>
          <w:szCs w:val="21"/>
          <w:u w:val="single"/>
        </w:rPr>
        <w:t>园区收取的停车场位使用费，由</w:t>
      </w:r>
      <w:r>
        <w:rPr>
          <w:rFonts w:hint="eastAsia" w:ascii="宋体"/>
          <w:b/>
          <w:bCs/>
          <w:szCs w:val="21"/>
          <w:u w:val="single"/>
          <w:lang w:eastAsia="zh-CN"/>
        </w:rPr>
        <w:t>“</w:t>
      </w:r>
      <w:r>
        <w:rPr>
          <w:rFonts w:hint="eastAsia" w:ascii="宋体"/>
          <w:b/>
          <w:bCs/>
          <w:szCs w:val="21"/>
          <w:u w:val="single"/>
          <w:lang w:val="en-US" w:eastAsia="zh-CN"/>
        </w:rPr>
        <w:t>i车位</w:t>
      </w:r>
      <w:r>
        <w:rPr>
          <w:rFonts w:hint="eastAsia" w:ascii="宋体"/>
          <w:b/>
          <w:bCs/>
          <w:szCs w:val="21"/>
          <w:u w:val="single"/>
          <w:lang w:eastAsia="zh-CN"/>
        </w:rPr>
        <w:t>”</w:t>
      </w:r>
      <w:r>
        <w:rPr>
          <w:rFonts w:hint="eastAsia" w:ascii="宋体"/>
          <w:b/>
          <w:bCs/>
          <w:szCs w:val="21"/>
          <w:u w:val="single"/>
          <w:lang w:val="en-US" w:eastAsia="zh-CN"/>
        </w:rPr>
        <w:t>公众号统一开</w:t>
      </w:r>
      <w:r>
        <w:rPr>
          <w:rFonts w:hint="eastAsia" w:ascii="宋体"/>
          <w:b/>
          <w:bCs/>
          <w:szCs w:val="21"/>
          <w:u w:val="single"/>
        </w:rPr>
        <w:t>具</w:t>
      </w:r>
      <w:r>
        <w:rPr>
          <w:rFonts w:hint="eastAsia" w:ascii="宋体"/>
          <w:b/>
          <w:bCs/>
          <w:szCs w:val="21"/>
          <w:u w:val="single"/>
          <w:lang w:val="en-US" w:eastAsia="zh-CN"/>
        </w:rPr>
        <w:t>停车费</w:t>
      </w:r>
      <w:r>
        <w:rPr>
          <w:rFonts w:hint="eastAsia" w:ascii="宋体"/>
          <w:b/>
          <w:bCs/>
          <w:szCs w:val="21"/>
          <w:u w:val="single"/>
        </w:rPr>
        <w:t>发票，</w:t>
      </w:r>
      <w:r>
        <w:rPr>
          <w:rFonts w:hint="eastAsia" w:ascii="宋体"/>
          <w:b/>
          <w:bCs/>
          <w:szCs w:val="21"/>
          <w:u w:val="single"/>
          <w:lang w:val="en-US" w:eastAsia="zh-CN"/>
        </w:rPr>
        <w:t>停车用户</w:t>
      </w:r>
      <w:r>
        <w:rPr>
          <w:rFonts w:hint="eastAsia" w:ascii="宋体"/>
          <w:b/>
          <w:bCs/>
          <w:szCs w:val="21"/>
          <w:u w:val="single"/>
        </w:rPr>
        <w:t>可以</w:t>
      </w:r>
      <w:r>
        <w:rPr>
          <w:rFonts w:hint="eastAsia" w:ascii="宋体"/>
          <w:b/>
          <w:bCs/>
          <w:szCs w:val="21"/>
          <w:u w:val="single"/>
          <w:lang w:val="en-US" w:eastAsia="zh-CN"/>
        </w:rPr>
        <w:t>自行到公众号操作开具发票。</w:t>
      </w:r>
    </w:p>
    <w:p w14:paraId="6306C47A">
      <w:pPr>
        <w:keepNext w:val="0"/>
        <w:keepLines w:val="0"/>
        <w:pageBreakBefore w:val="0"/>
        <w:widowControl/>
        <w:numPr>
          <w:ilvl w:val="0"/>
          <w:numId w:val="2"/>
        </w:numPr>
        <w:tabs>
          <w:tab w:val="left" w:pos="480"/>
          <w:tab w:val="clear" w:pos="425"/>
        </w:tabs>
        <w:kinsoku/>
        <w:wordWrap/>
        <w:overflowPunct/>
        <w:topLinePunct w:val="0"/>
        <w:autoSpaceDE/>
        <w:autoSpaceDN/>
        <w:bidi w:val="0"/>
        <w:adjustRightInd w:val="0"/>
        <w:snapToGrid w:val="0"/>
        <w:spacing w:line="320" w:lineRule="exact"/>
        <w:ind w:left="482" w:hanging="482"/>
        <w:jc w:val="left"/>
        <w:textAlignment w:val="auto"/>
        <w:rPr>
          <w:rFonts w:ascii="宋体"/>
          <w:sz w:val="21"/>
          <w:szCs w:val="21"/>
        </w:rPr>
      </w:pPr>
      <w:r>
        <w:rPr>
          <w:rFonts w:hint="eastAsia" w:ascii="宋体"/>
          <w:sz w:val="21"/>
          <w:szCs w:val="21"/>
        </w:rPr>
        <w:t>机动车辆除了交纳停车费外，还须按照《厦门创业园车辆和货物进出园区管理规定》，接受检查登记。</w:t>
      </w:r>
    </w:p>
    <w:p w14:paraId="0E3EE3C4">
      <w:pPr>
        <w:keepNext w:val="0"/>
        <w:keepLines w:val="0"/>
        <w:pageBreakBefore w:val="0"/>
        <w:widowControl/>
        <w:numPr>
          <w:ilvl w:val="0"/>
          <w:numId w:val="2"/>
        </w:numPr>
        <w:tabs>
          <w:tab w:val="left" w:pos="480"/>
          <w:tab w:val="clear" w:pos="425"/>
        </w:tabs>
        <w:kinsoku/>
        <w:wordWrap/>
        <w:overflowPunct/>
        <w:topLinePunct w:val="0"/>
        <w:autoSpaceDE/>
        <w:autoSpaceDN/>
        <w:bidi w:val="0"/>
        <w:adjustRightInd w:val="0"/>
        <w:snapToGrid w:val="0"/>
        <w:spacing w:line="320" w:lineRule="exact"/>
        <w:ind w:left="482" w:hanging="482"/>
        <w:jc w:val="left"/>
        <w:textAlignment w:val="auto"/>
        <w:rPr>
          <w:rFonts w:ascii="宋体"/>
          <w:sz w:val="21"/>
          <w:szCs w:val="21"/>
        </w:rPr>
      </w:pPr>
      <w:r>
        <w:rPr>
          <w:rFonts w:hint="eastAsia" w:ascii="宋体"/>
          <w:sz w:val="21"/>
          <w:szCs w:val="21"/>
        </w:rPr>
        <w:t>违反上述规定的，根据违反情节轻重，处200-500元的罚款。</w:t>
      </w:r>
    </w:p>
    <w:p w14:paraId="6C4AC5F9">
      <w:pPr>
        <w:keepNext w:val="0"/>
        <w:keepLines w:val="0"/>
        <w:pageBreakBefore w:val="0"/>
        <w:widowControl/>
        <w:tabs>
          <w:tab w:val="left" w:pos="480"/>
        </w:tabs>
        <w:kinsoku/>
        <w:wordWrap/>
        <w:overflowPunct/>
        <w:topLinePunct w:val="0"/>
        <w:autoSpaceDE/>
        <w:autoSpaceDN/>
        <w:bidi w:val="0"/>
        <w:adjustRightInd w:val="0"/>
        <w:snapToGrid w:val="0"/>
        <w:spacing w:line="320" w:lineRule="exact"/>
        <w:jc w:val="left"/>
        <w:textAlignment w:val="auto"/>
      </w:pPr>
      <w:r>
        <w:rPr>
          <w:rFonts w:hint="eastAsia" w:ascii="宋体"/>
          <w:sz w:val="21"/>
          <w:szCs w:val="21"/>
        </w:rPr>
        <w:t>16.  本规定由厦门高新技术创业中心有限公司负责解释。自二</w:t>
      </w:r>
      <w:r>
        <w:rPr>
          <w:rFonts w:hint="eastAsia" w:ascii="宋体"/>
          <w:sz w:val="21"/>
          <w:szCs w:val="21"/>
          <w:lang w:val="en-US" w:eastAsia="zh-CN"/>
        </w:rPr>
        <w:t>〇</w:t>
      </w:r>
      <w:r>
        <w:rPr>
          <w:rFonts w:hint="eastAsia" w:ascii="宋体"/>
          <w:sz w:val="21"/>
          <w:szCs w:val="21"/>
        </w:rPr>
        <w:t>二</w:t>
      </w:r>
      <w:r>
        <w:rPr>
          <w:rFonts w:hint="eastAsia" w:ascii="宋体"/>
          <w:sz w:val="21"/>
          <w:szCs w:val="21"/>
          <w:lang w:val="en-US" w:eastAsia="zh-CN"/>
        </w:rPr>
        <w:t>〇</w:t>
      </w:r>
      <w:r>
        <w:rPr>
          <w:rFonts w:hint="eastAsia" w:ascii="宋体"/>
          <w:sz w:val="21"/>
          <w:szCs w:val="21"/>
        </w:rPr>
        <w:t>年五月起执行。</w:t>
      </w:r>
      <w:r>
        <w:rPr>
          <w:rFonts w:hint="eastAsia" w:ascii="宋体"/>
          <w:sz w:val="16"/>
          <w:szCs w:val="22"/>
        </w:rPr>
        <w:t xml:space="preserve"> </w:t>
      </w:r>
    </w:p>
    <w:sectPr>
      <w:pgSz w:w="11906" w:h="16838"/>
      <w:pgMar w:top="850" w:right="1247" w:bottom="1077" w:left="117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ˎ̥">
    <w:altName w:val="Courier New"/>
    <w:panose1 w:val="00000000000000000000"/>
    <w:charset w:val="00"/>
    <w:family w:val="roman"/>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lvlText w:val="%1、"/>
      <w:lvlJc w:val="left"/>
      <w:pPr>
        <w:tabs>
          <w:tab w:val="left" w:pos="690"/>
        </w:tabs>
        <w:ind w:left="690" w:hanging="360"/>
      </w:pPr>
      <w:rPr>
        <w:rFonts w:hint="default"/>
      </w:rPr>
    </w:lvl>
    <w:lvl w:ilvl="1" w:tentative="0">
      <w:start w:val="1"/>
      <w:numFmt w:val="lowerLetter"/>
      <w:lvlText w:val="%2)"/>
      <w:lvlJc w:val="left"/>
      <w:pPr>
        <w:tabs>
          <w:tab w:val="left" w:pos="1170"/>
        </w:tabs>
        <w:ind w:left="1170" w:hanging="420"/>
      </w:pPr>
    </w:lvl>
    <w:lvl w:ilvl="2" w:tentative="0">
      <w:start w:val="1"/>
      <w:numFmt w:val="lowerRoman"/>
      <w:lvlText w:val="%3."/>
      <w:lvlJc w:val="right"/>
      <w:pPr>
        <w:tabs>
          <w:tab w:val="left" w:pos="1590"/>
        </w:tabs>
        <w:ind w:left="1590" w:hanging="420"/>
      </w:pPr>
    </w:lvl>
    <w:lvl w:ilvl="3" w:tentative="0">
      <w:start w:val="1"/>
      <w:numFmt w:val="decimal"/>
      <w:lvlText w:val="%4."/>
      <w:lvlJc w:val="left"/>
      <w:pPr>
        <w:tabs>
          <w:tab w:val="left" w:pos="2010"/>
        </w:tabs>
        <w:ind w:left="2010" w:hanging="420"/>
      </w:pPr>
    </w:lvl>
    <w:lvl w:ilvl="4" w:tentative="0">
      <w:start w:val="1"/>
      <w:numFmt w:val="lowerLetter"/>
      <w:lvlText w:val="%5)"/>
      <w:lvlJc w:val="left"/>
      <w:pPr>
        <w:tabs>
          <w:tab w:val="left" w:pos="2430"/>
        </w:tabs>
        <w:ind w:left="2430" w:hanging="420"/>
      </w:pPr>
    </w:lvl>
    <w:lvl w:ilvl="5" w:tentative="0">
      <w:start w:val="1"/>
      <w:numFmt w:val="lowerRoman"/>
      <w:lvlText w:val="%6."/>
      <w:lvlJc w:val="right"/>
      <w:pPr>
        <w:tabs>
          <w:tab w:val="left" w:pos="2850"/>
        </w:tabs>
        <w:ind w:left="2850" w:hanging="420"/>
      </w:pPr>
    </w:lvl>
    <w:lvl w:ilvl="6" w:tentative="0">
      <w:start w:val="1"/>
      <w:numFmt w:val="decimal"/>
      <w:lvlText w:val="%7."/>
      <w:lvlJc w:val="left"/>
      <w:pPr>
        <w:tabs>
          <w:tab w:val="left" w:pos="3270"/>
        </w:tabs>
        <w:ind w:left="3270" w:hanging="420"/>
      </w:pPr>
    </w:lvl>
    <w:lvl w:ilvl="7" w:tentative="0">
      <w:start w:val="1"/>
      <w:numFmt w:val="lowerLetter"/>
      <w:lvlText w:val="%8)"/>
      <w:lvlJc w:val="left"/>
      <w:pPr>
        <w:tabs>
          <w:tab w:val="left" w:pos="3690"/>
        </w:tabs>
        <w:ind w:left="3690" w:hanging="420"/>
      </w:pPr>
    </w:lvl>
    <w:lvl w:ilvl="8" w:tentative="0">
      <w:start w:val="1"/>
      <w:numFmt w:val="lowerRoman"/>
      <w:lvlText w:val="%9."/>
      <w:lvlJc w:val="right"/>
      <w:pPr>
        <w:tabs>
          <w:tab w:val="left" w:pos="4110"/>
        </w:tabs>
        <w:ind w:left="4110" w:hanging="420"/>
      </w:pPr>
    </w:lvl>
  </w:abstractNum>
  <w:abstractNum w:abstractNumId="1">
    <w:nsid w:val="0000000B"/>
    <w:multiLevelType w:val="singleLevel"/>
    <w:tmpl w:val="0000000B"/>
    <w:lvl w:ilvl="0" w:tentative="0">
      <w:start w:val="1"/>
      <w:numFmt w:val="decimal"/>
      <w:lvlText w:val="%1."/>
      <w:lvlJc w:val="left"/>
      <w:pPr>
        <w:tabs>
          <w:tab w:val="left" w:pos="425"/>
        </w:tabs>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3470C9"/>
    <w:rsid w:val="124F3BA6"/>
    <w:rsid w:val="21C636DF"/>
    <w:rsid w:val="383470C9"/>
    <w:rsid w:val="5847048E"/>
    <w:rsid w:val="7CB278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2250</Words>
  <Characters>2268</Characters>
  <Lines>0</Lines>
  <Paragraphs>0</Paragraphs>
  <TotalTime>2</TotalTime>
  <ScaleCrop>false</ScaleCrop>
  <LinksUpToDate>false</LinksUpToDate>
  <CharactersWithSpaces>2452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2020-08-24T07:15:00Z</dcterms:created>
  <dc:creator>ttina</dc:creator>
  <cp:lastModifiedBy>阿鲍</cp:lastModifiedBy>
  <dcterms:modified xsi:type="dcterms:W3CDTF">2026-06-02T00:54:18Z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eyJoZGlkIjoiNzcxMTI2ZGUzZWI0MGYxYjVhMmEwN2NmODVjYzdlMWUiLCJ1c2VySWQiOiI3MjMwOTc4MDUifQ==</vt:lpwstr>
  </property>
  <property fmtid="{D5CDD505-2E9C-101B-9397-08002B2CF9AE}" pid="4" name="ICV">
    <vt:lpwstr>73E8E5FE5E7745C3B68994EFFDC11F38_13</vt:lpwstr>
  </property>
</Properties>
</file>